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3463" w14:textId="257B5F58" w:rsidR="00F23313" w:rsidRPr="00F60770" w:rsidRDefault="74AEA36B" w:rsidP="00F6077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F60770">
        <w:rPr>
          <w:rFonts w:ascii="Arial" w:hAnsi="Arial" w:cs="Arial"/>
          <w:sz w:val="28"/>
          <w:szCs w:val="28"/>
        </w:rPr>
        <w:t>A szöveg szerkezeti egységei</w:t>
      </w:r>
    </w:p>
    <w:p w14:paraId="31B058A3" w14:textId="77777777" w:rsidR="00F60770" w:rsidRDefault="00F60770" w:rsidP="00683177">
      <w:pPr>
        <w:pStyle w:val="c1"/>
        <w:spacing w:before="0" w:beforeAutospacing="0" w:after="0" w:afterAutospacing="0" w:line="276" w:lineRule="auto"/>
        <w:jc w:val="both"/>
        <w:rPr>
          <w:rStyle w:val="c6"/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22A460BE" w14:textId="090576EF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6"/>
          <w:rFonts w:ascii="Arial" w:hAnsi="Arial" w:cs="Arial"/>
          <w:color w:val="333333"/>
          <w:sz w:val="22"/>
          <w:szCs w:val="22"/>
          <w:shd w:val="clear" w:color="auto" w:fill="FFFFFF"/>
        </w:rPr>
        <w:t>A szöveg a beszéd legnagyobb egysége. A mondatnál magasabb szintű, egymással összefüggő mondatok sorából álló, szerkesztett nyelvi egység.</w:t>
      </w:r>
    </w:p>
    <w:p w14:paraId="1B27D8DF" w14:textId="17202B5F" w:rsidR="471BE788" w:rsidRPr="00683177" w:rsidRDefault="00683177" w:rsidP="00683177">
      <w:pPr>
        <w:spacing w:line="276" w:lineRule="auto"/>
        <w:rPr>
          <w:rFonts w:ascii="Arial" w:hAnsi="Arial" w:cs="Arial"/>
        </w:rPr>
      </w:pPr>
      <w:r w:rsidRPr="00683177">
        <w:rPr>
          <w:rStyle w:val="c6"/>
          <w:rFonts w:ascii="Arial" w:hAnsi="Arial" w:cs="Arial"/>
          <w:color w:val="000000"/>
          <w:shd w:val="clear" w:color="auto" w:fill="FFFFFF"/>
        </w:rPr>
        <w:t xml:space="preserve">Szövegnek tekinthetünk minden formába öntött megnyilatkozást, amely </w:t>
      </w:r>
      <w:proofErr w:type="spellStart"/>
      <w:r w:rsidRPr="00683177">
        <w:rPr>
          <w:rStyle w:val="c6"/>
          <w:rFonts w:ascii="Arial" w:hAnsi="Arial" w:cs="Arial"/>
          <w:color w:val="000000"/>
          <w:shd w:val="clear" w:color="auto" w:fill="FFFFFF"/>
        </w:rPr>
        <w:t>tartalmilag</w:t>
      </w:r>
      <w:proofErr w:type="spellEnd"/>
      <w:r w:rsidRPr="00683177">
        <w:rPr>
          <w:rStyle w:val="c6"/>
          <w:rFonts w:ascii="Arial" w:hAnsi="Arial" w:cs="Arial"/>
          <w:color w:val="000000"/>
          <w:shd w:val="clear" w:color="auto" w:fill="FFFFFF"/>
        </w:rPr>
        <w:t xml:space="preserve"> a </w:t>
      </w:r>
      <w:r w:rsidRPr="00683177">
        <w:rPr>
          <w:rStyle w:val="c2"/>
          <w:rFonts w:ascii="Arial" w:hAnsi="Arial" w:cs="Arial"/>
          <w:b/>
          <w:bCs/>
          <w:color w:val="000000"/>
          <w:shd w:val="clear" w:color="auto" w:fill="FFFFFF"/>
        </w:rPr>
        <w:t>teljesség</w:t>
      </w:r>
      <w:r w:rsidRPr="00683177">
        <w:rPr>
          <w:rStyle w:val="c6"/>
          <w:rFonts w:ascii="Arial" w:hAnsi="Arial" w:cs="Arial"/>
          <w:color w:val="000000"/>
          <w:shd w:val="clear" w:color="auto" w:fill="FFFFFF"/>
        </w:rPr>
        <w:t>, megformáltságban a </w:t>
      </w:r>
      <w:r w:rsidRPr="00683177">
        <w:rPr>
          <w:rStyle w:val="c2"/>
          <w:rFonts w:ascii="Arial" w:hAnsi="Arial" w:cs="Arial"/>
          <w:b/>
          <w:bCs/>
          <w:color w:val="000000"/>
          <w:shd w:val="clear" w:color="auto" w:fill="FFFFFF"/>
        </w:rPr>
        <w:t>kerekség, lezártság</w:t>
      </w:r>
      <w:r w:rsidRPr="00683177">
        <w:rPr>
          <w:rStyle w:val="c0"/>
          <w:rFonts w:ascii="Arial" w:hAnsi="Arial" w:cs="Arial"/>
          <w:color w:val="000000"/>
          <w:shd w:val="clear" w:color="auto" w:fill="FFFFFF"/>
        </w:rPr>
        <w:t xml:space="preserve"> érzetét kelti. </w:t>
      </w:r>
      <w:r w:rsidR="208BF5DF" w:rsidRPr="00683177">
        <w:rPr>
          <w:rFonts w:ascii="Arial" w:hAnsi="Arial" w:cs="Arial"/>
        </w:rPr>
        <w:t>Mon</w:t>
      </w:r>
      <w:r w:rsidR="005066B0" w:rsidRPr="00683177">
        <w:rPr>
          <w:rFonts w:ascii="Arial" w:hAnsi="Arial" w:cs="Arial"/>
        </w:rPr>
        <w:t>d</w:t>
      </w:r>
      <w:r w:rsidR="208BF5DF" w:rsidRPr="00683177">
        <w:rPr>
          <w:rFonts w:ascii="Arial" w:hAnsi="Arial" w:cs="Arial"/>
        </w:rPr>
        <w:t>atokból áll</w:t>
      </w:r>
      <w:r w:rsidR="005066B0" w:rsidRPr="00683177">
        <w:rPr>
          <w:rFonts w:ascii="Arial" w:hAnsi="Arial" w:cs="Arial"/>
        </w:rPr>
        <w:t xml:space="preserve">, bár lehetnek </w:t>
      </w:r>
      <w:proofErr w:type="spellStart"/>
      <w:r w:rsidR="005066B0" w:rsidRPr="00683177">
        <w:rPr>
          <w:rFonts w:ascii="Arial" w:hAnsi="Arial" w:cs="Arial"/>
        </w:rPr>
        <w:t>egymondatos</w:t>
      </w:r>
      <w:proofErr w:type="spellEnd"/>
      <w:r w:rsidR="005066B0" w:rsidRPr="00683177">
        <w:rPr>
          <w:rFonts w:ascii="Arial" w:hAnsi="Arial" w:cs="Arial"/>
        </w:rPr>
        <w:t xml:space="preserve"> vagy akár egyszavas szövegek is. </w:t>
      </w:r>
    </w:p>
    <w:p w14:paraId="625A607D" w14:textId="0AD6710E" w:rsidR="6CF5258A" w:rsidRPr="00683177" w:rsidRDefault="6CF5258A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>Legfontosabb sajátossága a szövegelemek összekapcsoltsága</w:t>
      </w:r>
      <w:r w:rsidR="0E26E514" w:rsidRPr="00683177">
        <w:rPr>
          <w:rFonts w:ascii="Arial" w:hAnsi="Arial" w:cs="Arial"/>
        </w:rPr>
        <w:t>, vagyis a szövegösszetartó erő/szövegkohézió</w:t>
      </w:r>
    </w:p>
    <w:p w14:paraId="45A1FFF8" w14:textId="63F3147E" w:rsidR="12806C18" w:rsidRPr="00683177" w:rsidRDefault="12806C18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>Jellegzetességei: -megszerkesztett</w:t>
      </w:r>
    </w:p>
    <w:p w14:paraId="6106E114" w14:textId="02394571" w:rsidR="12806C18" w:rsidRPr="00683177" w:rsidRDefault="12806C18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                              -szövegek összekapcsolása, belső összefüggések</w:t>
      </w:r>
    </w:p>
    <w:p w14:paraId="60153613" w14:textId="10462F86" w:rsidR="12806C18" w:rsidRPr="00683177" w:rsidRDefault="12806C18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                              -teljesség</w:t>
      </w:r>
    </w:p>
    <w:p w14:paraId="6942E5DC" w14:textId="4BBCF304" w:rsidR="12806C18" w:rsidRPr="00683177" w:rsidRDefault="12806C18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                              -lezártság</w:t>
      </w:r>
    </w:p>
    <w:p w14:paraId="387B1431" w14:textId="12C26D33" w:rsidR="12806C18" w:rsidRPr="00683177" w:rsidRDefault="12806C18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                              -tematikai és </w:t>
      </w:r>
      <w:proofErr w:type="spellStart"/>
      <w:r w:rsidRPr="00683177">
        <w:rPr>
          <w:rFonts w:ascii="Arial" w:hAnsi="Arial" w:cs="Arial"/>
        </w:rPr>
        <w:t>stílusbeli</w:t>
      </w:r>
      <w:proofErr w:type="spellEnd"/>
      <w:r w:rsidRPr="00683177">
        <w:rPr>
          <w:rFonts w:ascii="Arial" w:hAnsi="Arial" w:cs="Arial"/>
        </w:rPr>
        <w:t xml:space="preserve"> egyneműség</w:t>
      </w:r>
    </w:p>
    <w:p w14:paraId="7368E293" w14:textId="62C87699" w:rsidR="3E499BC6" w:rsidRPr="00F60770" w:rsidRDefault="3E499BC6" w:rsidP="00683177">
      <w:pPr>
        <w:spacing w:line="276" w:lineRule="auto"/>
        <w:rPr>
          <w:rFonts w:ascii="Arial" w:hAnsi="Arial" w:cs="Arial"/>
        </w:rPr>
      </w:pPr>
      <w:r w:rsidRPr="00F60770">
        <w:rPr>
          <w:rFonts w:ascii="Arial" w:hAnsi="Arial" w:cs="Arial"/>
          <w:b/>
          <w:u w:val="single"/>
        </w:rPr>
        <w:t>Szövegösszetartó erő</w:t>
      </w:r>
      <w:r w:rsidR="00F60770">
        <w:rPr>
          <w:rFonts w:ascii="Arial" w:hAnsi="Arial" w:cs="Arial"/>
        </w:rPr>
        <w:t>: ez biztosítja a szöveg kerek, egész, összefüggő karakterét.</w:t>
      </w:r>
    </w:p>
    <w:p w14:paraId="4AA51339" w14:textId="7349B8C1" w:rsidR="0E163709" w:rsidRPr="00683177" w:rsidRDefault="0E163709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>Lineáris kohézió</w:t>
      </w:r>
      <w:r w:rsidR="3E499BC6" w:rsidRPr="00683177">
        <w:rPr>
          <w:rFonts w:ascii="Arial" w:hAnsi="Arial" w:cs="Arial"/>
        </w:rPr>
        <w:t xml:space="preserve">                                                                  G</w:t>
      </w:r>
      <w:r w:rsidR="636FDC02" w:rsidRPr="00683177">
        <w:rPr>
          <w:rFonts w:ascii="Arial" w:hAnsi="Arial" w:cs="Arial"/>
        </w:rPr>
        <w:t>lobális kohézió</w:t>
      </w:r>
    </w:p>
    <w:p w14:paraId="4767BB37" w14:textId="28706DA7" w:rsidR="0BA3DCAC" w:rsidRPr="00683177" w:rsidRDefault="0BA3DCAC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>A mondatok láncszerű összekapcsolódása</w:t>
      </w:r>
      <w:r w:rsidR="4A63DA9F" w:rsidRPr="00683177">
        <w:rPr>
          <w:rFonts w:ascii="Arial" w:hAnsi="Arial" w:cs="Arial"/>
        </w:rPr>
        <w:t xml:space="preserve">                    A szöveg egészére ható összetartó erő</w:t>
      </w:r>
    </w:p>
    <w:p w14:paraId="19D17583" w14:textId="11E3F67E" w:rsidR="78A634DD" w:rsidRPr="00683177" w:rsidRDefault="78A634DD" w:rsidP="00683177">
      <w:pPr>
        <w:spacing w:line="276" w:lineRule="auto"/>
        <w:rPr>
          <w:rFonts w:ascii="Arial" w:hAnsi="Arial" w:cs="Arial"/>
        </w:rPr>
      </w:pPr>
    </w:p>
    <w:p w14:paraId="175FF49E" w14:textId="41EB25B1" w:rsidR="0FC79315" w:rsidRPr="00F60770" w:rsidRDefault="0FC79315" w:rsidP="00683177">
      <w:pPr>
        <w:spacing w:line="276" w:lineRule="auto"/>
        <w:rPr>
          <w:rFonts w:ascii="Arial" w:hAnsi="Arial" w:cs="Arial"/>
          <w:b/>
          <w:u w:val="single"/>
        </w:rPr>
      </w:pPr>
      <w:r w:rsidRPr="00F60770">
        <w:rPr>
          <w:rFonts w:ascii="Arial" w:hAnsi="Arial" w:cs="Arial"/>
          <w:b/>
          <w:u w:val="single"/>
        </w:rPr>
        <w:t>A szöveg szerkezeti egységei</w:t>
      </w:r>
    </w:p>
    <w:p w14:paraId="6FE28DA3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szöveg felépítését vizsgálva beszélhetünk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makroszerkezetről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és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mikroszerkezetről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2C93508" w14:textId="77777777" w:rsidR="00683177" w:rsidRPr="00683177" w:rsidRDefault="00683177" w:rsidP="00683177">
      <w:pPr>
        <w:spacing w:line="276" w:lineRule="auto"/>
        <w:rPr>
          <w:rFonts w:ascii="Arial" w:hAnsi="Arial" w:cs="Arial"/>
        </w:rPr>
      </w:pPr>
    </w:p>
    <w:p w14:paraId="15FA8751" w14:textId="61609F39" w:rsidR="0FC79315" w:rsidRPr="00683177" w:rsidRDefault="0FC79315" w:rsidP="00683177">
      <w:pPr>
        <w:spacing w:line="276" w:lineRule="auto"/>
        <w:rPr>
          <w:rFonts w:ascii="Arial" w:hAnsi="Arial" w:cs="Arial"/>
        </w:rPr>
      </w:pPr>
      <w:proofErr w:type="gramStart"/>
      <w:r w:rsidRPr="00683177">
        <w:rPr>
          <w:rFonts w:ascii="Arial" w:hAnsi="Arial" w:cs="Arial"/>
        </w:rPr>
        <w:t>A  MIKROSZERKEZETI</w:t>
      </w:r>
      <w:proofErr w:type="gramEnd"/>
      <w:r w:rsidRPr="00683177">
        <w:rPr>
          <w:rFonts w:ascii="Arial" w:hAnsi="Arial" w:cs="Arial"/>
        </w:rPr>
        <w:t xml:space="preserve"> EGYSÉGEK         és a            MAKROSZERKEZETI EGYSÉGEK</w:t>
      </w:r>
    </w:p>
    <w:p w14:paraId="0457138B" w14:textId="557E77EC" w:rsidR="0FC79315" w:rsidRPr="00683177" w:rsidRDefault="0FC79315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>Bekezdések                                                                Bekezdésnél nagyobb egységek</w:t>
      </w:r>
    </w:p>
    <w:p w14:paraId="2D9193D4" w14:textId="48E06C46" w:rsidR="0FC79315" w:rsidRPr="00683177" w:rsidRDefault="0FC79315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Bekezdésnél kisebb szerkezet egységek               </w:t>
      </w:r>
      <w:proofErr w:type="spellStart"/>
      <w:r w:rsidRPr="00683177">
        <w:rPr>
          <w:rFonts w:ascii="Arial" w:hAnsi="Arial" w:cs="Arial"/>
        </w:rPr>
        <w:t>Pl</w:t>
      </w:r>
      <w:proofErr w:type="spellEnd"/>
      <w:r w:rsidRPr="00683177">
        <w:rPr>
          <w:rFonts w:ascii="Arial" w:hAnsi="Arial" w:cs="Arial"/>
        </w:rPr>
        <w:t xml:space="preserve">: bevezetés, tárgyalás, befejezés, </w:t>
      </w:r>
      <w:proofErr w:type="spellStart"/>
      <w:r w:rsidRPr="00683177">
        <w:rPr>
          <w:rFonts w:ascii="Arial" w:hAnsi="Arial" w:cs="Arial"/>
        </w:rPr>
        <w:t>stb</w:t>
      </w:r>
      <w:proofErr w:type="spellEnd"/>
    </w:p>
    <w:p w14:paraId="4B5854A2" w14:textId="5E3E08C1" w:rsidR="0FC79315" w:rsidRPr="00683177" w:rsidRDefault="0FC79315" w:rsidP="00683177">
      <w:pPr>
        <w:spacing w:line="276" w:lineRule="auto"/>
        <w:rPr>
          <w:rFonts w:ascii="Arial" w:hAnsi="Arial" w:cs="Arial"/>
        </w:rPr>
      </w:pPr>
      <w:proofErr w:type="spellStart"/>
      <w:r w:rsidRPr="00683177">
        <w:rPr>
          <w:rFonts w:ascii="Arial" w:hAnsi="Arial" w:cs="Arial"/>
        </w:rPr>
        <w:t>Pl</w:t>
      </w:r>
      <w:proofErr w:type="spellEnd"/>
      <w:r w:rsidRPr="00683177">
        <w:rPr>
          <w:rFonts w:ascii="Arial" w:hAnsi="Arial" w:cs="Arial"/>
        </w:rPr>
        <w:t>: mondat, mondattömb, tételmondat</w:t>
      </w:r>
    </w:p>
    <w:p w14:paraId="1C689945" w14:textId="2572007E" w:rsidR="78A634DD" w:rsidRPr="00683177" w:rsidRDefault="0FC79315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mondattömb: téma szerint szorosabban összetartozó mondatok. </w:t>
      </w:r>
    </w:p>
    <w:p w14:paraId="4A405648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5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213AE49F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177">
        <w:rPr>
          <w:rStyle w:val="c5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Makroszerkezet</w:t>
      </w:r>
      <w:proofErr w:type="spellEnd"/>
    </w:p>
    <w:p w14:paraId="6B6160C8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A teljes szövegnek általában van címe, és fő szerkezeti egységei a szabályosan szerkesztett szövegekben a bevezetés, a tárgyalás és a befejezés. Ezek tartalma természetesen függ attól, milyen típusú és terjedelmű szövegről van szó. Példának véve egy néhány oldalas érvelő vagy leíró szöveget, a részek tartalma a következő lehet:</w:t>
      </w:r>
    </w:p>
    <w:p w14:paraId="11CABB44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9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Bevezetés</w:t>
      </w:r>
      <w:r w:rsidRPr="00683177">
        <w:rPr>
          <w:rStyle w:val="c6"/>
          <w:rFonts w:ascii="Arial" w:hAnsi="Arial" w:cs="Arial"/>
          <w:color w:val="000000"/>
          <w:sz w:val="22"/>
          <w:szCs w:val="22"/>
          <w:shd w:val="clear" w:color="auto" w:fill="FFFFFF"/>
        </w:rPr>
        <w:t>: ide kerül az értekezés célja, a téma megjelölése, főbb szempontok megjelölése / az érvelés témája, a tétel, amit véd a szöveg. Általában a bevezetés tartalmazza az ún. </w:t>
      </w:r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fókuszmondat</w:t>
      </w:r>
      <w:r w:rsidRPr="00683177">
        <w:rPr>
          <w:rStyle w:val="c6"/>
          <w:rFonts w:ascii="Arial" w:hAnsi="Arial" w:cs="Arial"/>
          <w:color w:val="000000"/>
          <w:sz w:val="22"/>
          <w:szCs w:val="22"/>
          <w:shd w:val="clear" w:color="auto" w:fill="FFFFFF"/>
        </w:rPr>
        <w:t>ot: ez egy olyan </w:t>
      </w:r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tételmondat</w:t>
      </w:r>
      <w:r w:rsidRPr="00683177">
        <w:rPr>
          <w:rStyle w:val="c6"/>
          <w:rFonts w:ascii="Arial" w:hAnsi="Arial" w:cs="Arial"/>
          <w:color w:val="000000"/>
          <w:sz w:val="22"/>
          <w:szCs w:val="22"/>
          <w:shd w:val="clear" w:color="auto" w:fill="FFFFFF"/>
        </w:rPr>
        <w:t>, ami az </w:t>
      </w:r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egész szöveg</w:t>
      </w: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 lényegét, mondandóját összegzi.</w:t>
      </w:r>
    </w:p>
    <w:p w14:paraId="297ED4AE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6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lastRenderedPageBreak/>
        <w:t>Tárgyalás:</w:t>
      </w: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 Ez a szöveg legterjedelmesebb része, a leíró szöveg részletezően bemutató része / az érvelés vagy cáfolat helye, a téma bővebb kifejtése tehát ebben a részben folyik. A tárgyalás adja tehát a szöveg leglényegesebb, leginformatívabb részét. A tárgyalás újabb bekezdésekre tagolható, amelyek elrendezése adja meg ennek a szövegrésznek a belső szerkezetét, hiszen nem mindegy, hogy a tárgyalás egyes elemeit – a gondolatokat s az azokat kifejtő bekezdéseket – hogyan rendezzük el. Az elrendezés függ a szöveg típusától is.</w:t>
      </w:r>
    </w:p>
    <w:p w14:paraId="01B1DACD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leggyakoribb szövegszerkezet-típusok: az időrendre, a térbeli rendezettségre épülő, a logikai elvre épülő, a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láncszerűen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szerkesztett (lineáris), keretes, mozaikszerű és képzettársításos szerkesztésű szövegek – ilyenek lehetnek a leíró vagy elbeszélő szövegek. Petőfi tájversei pl. gyakran a térbeli elrendezést követik szerkezetükben. Az érvelő, felhívó szövegek elrendezését a logikai lánc, az érvek erősségének </w:t>
      </w:r>
      <w:proofErr w:type="gram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figyelembe vétele</w:t>
      </w:r>
      <w:proofErr w:type="gram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határozza meg.</w:t>
      </w:r>
    </w:p>
    <w:p w14:paraId="1F2397CE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9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Befejezés:</w:t>
      </w: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 Ez a bekezdés összefoglal, visszatekint a szöveg egészére vagy tanulságot von le. Részben megismételheti a bevezetésben leírtakat, részben összegez, következtetést tartalmaz, esetleg kitekint, felvázolja a szöveg témájának további taglalási lehetőségeit.</w:t>
      </w:r>
    </w:p>
    <w:p w14:paraId="33838F8F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92723A2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Mikroszerkezet</w:t>
      </w:r>
      <w:proofErr w:type="spellEnd"/>
    </w:p>
    <w:p w14:paraId="4D8EF104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bekezdés és a nála kisebb szövegegységek adják a szöveg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mikroszerkezetét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FC10742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mikroszerkezet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bekezdések belső szerkezete. Azért „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mikro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”, mert tulajdonképpen egy jól szerkesztett bekezdésnek ugyanolyan hármas tagolásának, ugyanolyan felépítésének kellene lennie, mint egy teljes szövegnek. Egy bekezdést tehát ugyanúgy felbonthatunk kisebb egységekre, mondatokra vagy mondattömbökre, mint egy szöveget.</w:t>
      </w:r>
    </w:p>
    <w:p w14:paraId="2B4062E4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6"/>
          <w:rFonts w:ascii="Arial" w:hAnsi="Arial" w:cs="Arial"/>
          <w:color w:val="000000"/>
          <w:sz w:val="22"/>
          <w:szCs w:val="22"/>
          <w:shd w:val="clear" w:color="auto" w:fill="FFFFFF"/>
        </w:rPr>
        <w:t>A bekezdés első mondata afféle bevezetés, amelyben igen gyakran a bekezdés fő állítását találjuk: ez a</w:t>
      </w:r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tételmondat</w:t>
      </w: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 tételmondat másutt is szerepelhet, de jó, ha a bekezdés elejére kerül, mert növeli az áttekinthetőséget, a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logikusságot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, az érthetőséget.</w:t>
      </w:r>
    </w:p>
    <w:p w14:paraId="601E9EAA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6"/>
          <w:rFonts w:ascii="Arial" w:hAnsi="Arial" w:cs="Arial"/>
          <w:color w:val="000000"/>
          <w:sz w:val="22"/>
          <w:szCs w:val="22"/>
          <w:shd w:val="clear" w:color="auto" w:fill="FFFFFF"/>
        </w:rPr>
        <w:t>A tételmondat után általában egy több mondatból álló </w:t>
      </w:r>
      <w:r w:rsidRPr="00683177">
        <w:rPr>
          <w:rStyle w:val="c2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mondattömb</w:t>
      </w: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 következik, amelyben a tételmondat kifejtése, igazolása, részletezése áll, esetleg példák, érvek, kisebb elemek vizsgálata – a szöveg típusától függően. (A ’mondattömb’ annyit jelent, hogy több, egymással összefüggő mondat egységet képez, de ez az egység kisebb egy bekezdésnél. Egy hosszabb bekezdés több mondattömbből is állhat.)</w:t>
      </w:r>
    </w:p>
    <w:p w14:paraId="11B9D7CC" w14:textId="77777777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zárómondat összegzi a tétel állításait, következtet, megerősíti a tételmondatot, és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továbblép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, mutatja a lehetséges irányt, amit a következő bekezdésben viszünk tovább.</w:t>
      </w:r>
    </w:p>
    <w:p w14:paraId="21986023" w14:textId="14BCF2E2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Látható tehát, hogy a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mikroszerkezet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leképezi a </w:t>
      </w:r>
      <w:proofErr w:type="spellStart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makroszerkezetet</w:t>
      </w:r>
      <w:proofErr w:type="spellEnd"/>
      <w:r w:rsidRPr="00683177">
        <w:rPr>
          <w:rStyle w:val="c0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2FBE8339" w14:textId="3ABCE13F" w:rsidR="00683177" w:rsidRPr="00683177" w:rsidRDefault="00683177" w:rsidP="00683177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D53A2D" w14:textId="77777777" w:rsidR="00683177" w:rsidRPr="00683177" w:rsidRDefault="00683177" w:rsidP="00683177">
      <w:pPr>
        <w:spacing w:line="276" w:lineRule="auto"/>
        <w:rPr>
          <w:rFonts w:ascii="Arial" w:hAnsi="Arial" w:cs="Arial"/>
          <w:b/>
          <w:u w:val="single"/>
        </w:rPr>
      </w:pPr>
      <w:r w:rsidRPr="00683177">
        <w:rPr>
          <w:rFonts w:ascii="Arial" w:hAnsi="Arial" w:cs="Arial"/>
          <w:b/>
          <w:u w:val="single"/>
        </w:rPr>
        <w:t>A szöveg szerkezettípusai</w:t>
      </w:r>
    </w:p>
    <w:p w14:paraId="7F258E4F" w14:textId="2DC39A82" w:rsidR="00683177" w:rsidRPr="00683177" w:rsidRDefault="00683177" w:rsidP="006831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83177">
        <w:rPr>
          <w:rFonts w:ascii="Arial" w:hAnsi="Arial" w:cs="Arial"/>
        </w:rPr>
        <w:t>Lineáris: térbeli építkezés (leíró szöveg)</w:t>
      </w:r>
    </w:p>
    <w:p w14:paraId="5ED17538" w14:textId="77777777" w:rsidR="00683177" w:rsidRPr="00683177" w:rsidRDefault="00683177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-Párhuzamosságra épülő szerkezettípus: felváltja vagy kiegészíti a lineáris építkezést</w:t>
      </w:r>
    </w:p>
    <w:p w14:paraId="248ABD63" w14:textId="77777777" w:rsidR="00683177" w:rsidRPr="00683177" w:rsidRDefault="00683177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-</w:t>
      </w:r>
      <w:proofErr w:type="spellStart"/>
      <w:r w:rsidRPr="00683177">
        <w:rPr>
          <w:rFonts w:ascii="Arial" w:hAnsi="Arial" w:cs="Arial"/>
        </w:rPr>
        <w:t>Ellentétező</w:t>
      </w:r>
      <w:proofErr w:type="spellEnd"/>
      <w:r w:rsidRPr="00683177">
        <w:rPr>
          <w:rFonts w:ascii="Arial" w:hAnsi="Arial" w:cs="Arial"/>
        </w:rPr>
        <w:t xml:space="preserve"> </w:t>
      </w:r>
      <w:proofErr w:type="spellStart"/>
      <w:r w:rsidRPr="00683177">
        <w:rPr>
          <w:rFonts w:ascii="Arial" w:hAnsi="Arial" w:cs="Arial"/>
        </w:rPr>
        <w:t>szkt</w:t>
      </w:r>
      <w:proofErr w:type="spellEnd"/>
      <w:r w:rsidRPr="00683177">
        <w:rPr>
          <w:rFonts w:ascii="Arial" w:hAnsi="Arial" w:cs="Arial"/>
        </w:rPr>
        <w:t>.: felváltja vagy kiegészíti a lineáris építkezést</w:t>
      </w:r>
    </w:p>
    <w:p w14:paraId="799042D9" w14:textId="77777777" w:rsidR="00683177" w:rsidRPr="00683177" w:rsidRDefault="00683177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-Mozaikszerű </w:t>
      </w:r>
      <w:proofErr w:type="spellStart"/>
      <w:r w:rsidRPr="00683177">
        <w:rPr>
          <w:rFonts w:ascii="Arial" w:hAnsi="Arial" w:cs="Arial"/>
        </w:rPr>
        <w:t>szkt</w:t>
      </w:r>
      <w:proofErr w:type="spellEnd"/>
      <w:r w:rsidRPr="00683177">
        <w:rPr>
          <w:rFonts w:ascii="Arial" w:hAnsi="Arial" w:cs="Arial"/>
        </w:rPr>
        <w:t>.: főként irodalmi szövegekben található</w:t>
      </w:r>
    </w:p>
    <w:p w14:paraId="2E616E67" w14:textId="77777777" w:rsidR="00683177" w:rsidRPr="00683177" w:rsidRDefault="00683177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 -Keretes </w:t>
      </w:r>
      <w:proofErr w:type="spellStart"/>
      <w:r w:rsidRPr="00683177">
        <w:rPr>
          <w:rFonts w:ascii="Arial" w:hAnsi="Arial" w:cs="Arial"/>
        </w:rPr>
        <w:t>szkt</w:t>
      </w:r>
      <w:proofErr w:type="spellEnd"/>
      <w:r w:rsidRPr="00683177">
        <w:rPr>
          <w:rFonts w:ascii="Arial" w:hAnsi="Arial" w:cs="Arial"/>
        </w:rPr>
        <w:t>.: szintén irodalmi szövegekben van</w:t>
      </w:r>
    </w:p>
    <w:p w14:paraId="6AD52AB9" w14:textId="77777777" w:rsidR="00683177" w:rsidRPr="00683177" w:rsidRDefault="00683177" w:rsidP="00683177">
      <w:pPr>
        <w:spacing w:line="276" w:lineRule="auto"/>
        <w:rPr>
          <w:rFonts w:ascii="Arial" w:eastAsia="Calibri" w:hAnsi="Arial" w:cs="Arial"/>
        </w:rPr>
      </w:pPr>
      <w:r w:rsidRPr="00683177">
        <w:rPr>
          <w:rFonts w:ascii="Arial" w:hAnsi="Arial" w:cs="Arial"/>
        </w:rPr>
        <w:t xml:space="preserve"> -Asszociatív (képzettársításos) </w:t>
      </w:r>
      <w:proofErr w:type="spellStart"/>
      <w:r w:rsidRPr="00683177">
        <w:rPr>
          <w:rFonts w:ascii="Arial" w:hAnsi="Arial" w:cs="Arial"/>
        </w:rPr>
        <w:t>szkt</w:t>
      </w:r>
      <w:proofErr w:type="spellEnd"/>
      <w:r w:rsidRPr="00683177">
        <w:rPr>
          <w:rFonts w:ascii="Arial" w:hAnsi="Arial" w:cs="Arial"/>
        </w:rPr>
        <w:t xml:space="preserve">.: </w:t>
      </w:r>
      <w:r w:rsidRPr="00683177">
        <w:rPr>
          <w:rFonts w:ascii="Arial" w:eastAsia="Calibri" w:hAnsi="Arial" w:cs="Arial"/>
        </w:rPr>
        <w:t>A felépítést a szövegalkotónak a témával összefüggő gondolatai irányítják. Ez is irodalmi szövegekben található meg.</w:t>
      </w:r>
    </w:p>
    <w:p w14:paraId="7062156A" w14:textId="72DBFDB8" w:rsidR="3F84CA16" w:rsidRPr="00683177" w:rsidRDefault="24A21EDE" w:rsidP="00683177">
      <w:pPr>
        <w:spacing w:line="276" w:lineRule="auto"/>
        <w:rPr>
          <w:rFonts w:ascii="Arial" w:hAnsi="Arial" w:cs="Arial"/>
        </w:rPr>
      </w:pPr>
      <w:r w:rsidRPr="00683177">
        <w:rPr>
          <w:rFonts w:ascii="Arial" w:hAnsi="Arial" w:cs="Arial"/>
        </w:rPr>
        <w:t xml:space="preserve">Források: </w:t>
      </w:r>
      <w:hyperlink r:id="rId4">
        <w:r w:rsidRPr="00683177">
          <w:rPr>
            <w:rStyle w:val="Hiperhivatkozs"/>
            <w:rFonts w:ascii="Arial" w:hAnsi="Arial" w:cs="Arial"/>
          </w:rPr>
          <w:t>https://www.nkp.hu/tankonyv/magyar_nyelv_10_nat2020/lecke_01_010</w:t>
        </w:r>
      </w:hyperlink>
      <w:bookmarkStart w:id="0" w:name="_GoBack"/>
      <w:bookmarkEnd w:id="0"/>
    </w:p>
    <w:sectPr w:rsidR="3F84CA16" w:rsidRPr="00683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E6B89"/>
    <w:rsid w:val="005066B0"/>
    <w:rsid w:val="00683177"/>
    <w:rsid w:val="008283D4"/>
    <w:rsid w:val="00F23313"/>
    <w:rsid w:val="00F60770"/>
    <w:rsid w:val="0138B9C7"/>
    <w:rsid w:val="02D48A28"/>
    <w:rsid w:val="02FA664D"/>
    <w:rsid w:val="04255761"/>
    <w:rsid w:val="04D8EBD2"/>
    <w:rsid w:val="0555F4F7"/>
    <w:rsid w:val="08A89DE4"/>
    <w:rsid w:val="08C4462E"/>
    <w:rsid w:val="09F61941"/>
    <w:rsid w:val="0AC23B87"/>
    <w:rsid w:val="0ACCA1D2"/>
    <w:rsid w:val="0B37D837"/>
    <w:rsid w:val="0BA3DCAC"/>
    <w:rsid w:val="0C4EA211"/>
    <w:rsid w:val="0C5E0BE8"/>
    <w:rsid w:val="0D47DE7F"/>
    <w:rsid w:val="0E163709"/>
    <w:rsid w:val="0E26E514"/>
    <w:rsid w:val="0E723FF6"/>
    <w:rsid w:val="0EE3AEE0"/>
    <w:rsid w:val="0EE838FE"/>
    <w:rsid w:val="0F95ACAA"/>
    <w:rsid w:val="0FC79315"/>
    <w:rsid w:val="10CA45A3"/>
    <w:rsid w:val="10E862CF"/>
    <w:rsid w:val="110F616C"/>
    <w:rsid w:val="11221334"/>
    <w:rsid w:val="12806C18"/>
    <w:rsid w:val="13B1A688"/>
    <w:rsid w:val="15F58457"/>
    <w:rsid w:val="179154B8"/>
    <w:rsid w:val="18602CF4"/>
    <w:rsid w:val="188517AB"/>
    <w:rsid w:val="1E5CEF20"/>
    <w:rsid w:val="207E6875"/>
    <w:rsid w:val="208BF5DF"/>
    <w:rsid w:val="23A7F3B4"/>
    <w:rsid w:val="24A21EDE"/>
    <w:rsid w:val="267A5F39"/>
    <w:rsid w:val="2758547B"/>
    <w:rsid w:val="28162F9A"/>
    <w:rsid w:val="2D55843B"/>
    <w:rsid w:val="2FD85A14"/>
    <w:rsid w:val="309F1F85"/>
    <w:rsid w:val="33C4C5BF"/>
    <w:rsid w:val="351AFD21"/>
    <w:rsid w:val="356883A6"/>
    <w:rsid w:val="3857EEFD"/>
    <w:rsid w:val="38B771C4"/>
    <w:rsid w:val="390E6B89"/>
    <w:rsid w:val="3A2717F2"/>
    <w:rsid w:val="3B1B0CBB"/>
    <w:rsid w:val="3BD7C52A"/>
    <w:rsid w:val="3E499BC6"/>
    <w:rsid w:val="3EE915E1"/>
    <w:rsid w:val="3F84CA16"/>
    <w:rsid w:val="4008A25A"/>
    <w:rsid w:val="4045C069"/>
    <w:rsid w:val="40AB364D"/>
    <w:rsid w:val="40BECED1"/>
    <w:rsid w:val="418A4E3F"/>
    <w:rsid w:val="42244C00"/>
    <w:rsid w:val="43A926AA"/>
    <w:rsid w:val="4544F70B"/>
    <w:rsid w:val="471BE788"/>
    <w:rsid w:val="4A63DA9F"/>
    <w:rsid w:val="4A6FFABA"/>
    <w:rsid w:val="4AAE7177"/>
    <w:rsid w:val="5000244C"/>
    <w:rsid w:val="50AD5BCB"/>
    <w:rsid w:val="52CBE190"/>
    <w:rsid w:val="538C306C"/>
    <w:rsid w:val="55B2AD61"/>
    <w:rsid w:val="55B3A980"/>
    <w:rsid w:val="5619246A"/>
    <w:rsid w:val="574E7DC2"/>
    <w:rsid w:val="574F79E1"/>
    <w:rsid w:val="579F52B3"/>
    <w:rsid w:val="58EB4A42"/>
    <w:rsid w:val="590F9C83"/>
    <w:rsid w:val="5B09268E"/>
    <w:rsid w:val="5B79E177"/>
    <w:rsid w:val="5BEF9F26"/>
    <w:rsid w:val="5C22EB04"/>
    <w:rsid w:val="5C473D45"/>
    <w:rsid w:val="5C72C3D6"/>
    <w:rsid w:val="5C8C4E72"/>
    <w:rsid w:val="5D2FD654"/>
    <w:rsid w:val="5E0E9437"/>
    <w:rsid w:val="5F6A02C1"/>
    <w:rsid w:val="5F73B423"/>
    <w:rsid w:val="60164816"/>
    <w:rsid w:val="61A75B79"/>
    <w:rsid w:val="636FDC02"/>
    <w:rsid w:val="65133F52"/>
    <w:rsid w:val="65587051"/>
    <w:rsid w:val="657B1452"/>
    <w:rsid w:val="66F440B2"/>
    <w:rsid w:val="670D690F"/>
    <w:rsid w:val="670E2554"/>
    <w:rsid w:val="676C8F12"/>
    <w:rsid w:val="68279BFC"/>
    <w:rsid w:val="69016E0C"/>
    <w:rsid w:val="6B2737DE"/>
    <w:rsid w:val="6CF5258A"/>
    <w:rsid w:val="6DDBD096"/>
    <w:rsid w:val="6DDECF8B"/>
    <w:rsid w:val="6E227DE9"/>
    <w:rsid w:val="6E5ED8A0"/>
    <w:rsid w:val="6F6B3615"/>
    <w:rsid w:val="71137158"/>
    <w:rsid w:val="71CAA36A"/>
    <w:rsid w:val="72AF41B9"/>
    <w:rsid w:val="744B121A"/>
    <w:rsid w:val="74AEA36B"/>
    <w:rsid w:val="7537E3A6"/>
    <w:rsid w:val="773F49EA"/>
    <w:rsid w:val="77B29F8C"/>
    <w:rsid w:val="78A634DD"/>
    <w:rsid w:val="796AAB59"/>
    <w:rsid w:val="7997B42C"/>
    <w:rsid w:val="79F91DD3"/>
    <w:rsid w:val="7ABB4FBD"/>
    <w:rsid w:val="7D30BE95"/>
    <w:rsid w:val="7D819386"/>
    <w:rsid w:val="7DFCE0DB"/>
    <w:rsid w:val="7F1D63E7"/>
    <w:rsid w:val="7F73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6B89"/>
  <w15:chartTrackingRefBased/>
  <w15:docId w15:val="{BF9C1F3D-7503-4D41-8531-F8A8832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paragraph" w:customStyle="1" w:styleId="c1">
    <w:name w:val="c1"/>
    <w:basedOn w:val="Norml"/>
    <w:rsid w:val="0068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6">
    <w:name w:val="c6"/>
    <w:basedOn w:val="Bekezdsalapbettpusa"/>
    <w:rsid w:val="00683177"/>
  </w:style>
  <w:style w:type="character" w:customStyle="1" w:styleId="c2">
    <w:name w:val="c2"/>
    <w:basedOn w:val="Bekezdsalapbettpusa"/>
    <w:rsid w:val="00683177"/>
  </w:style>
  <w:style w:type="character" w:customStyle="1" w:styleId="c0">
    <w:name w:val="c0"/>
    <w:basedOn w:val="Bekezdsalapbettpusa"/>
    <w:rsid w:val="00683177"/>
  </w:style>
  <w:style w:type="character" w:customStyle="1" w:styleId="c5">
    <w:name w:val="c5"/>
    <w:basedOn w:val="Bekezdsalapbettpusa"/>
    <w:rsid w:val="00683177"/>
  </w:style>
  <w:style w:type="character" w:customStyle="1" w:styleId="c9">
    <w:name w:val="c9"/>
    <w:basedOn w:val="Bekezdsalapbettpusa"/>
    <w:rsid w:val="00683177"/>
  </w:style>
  <w:style w:type="character" w:styleId="Mrltotthiperhivatkozs">
    <w:name w:val="FollowedHyperlink"/>
    <w:basedOn w:val="Bekezdsalapbettpusa"/>
    <w:uiPriority w:val="99"/>
    <w:semiHidden/>
    <w:unhideWhenUsed/>
    <w:rsid w:val="00F60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kp.hu/tankonyv/magyar_nyelv_10_nat2020/lecke_01_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677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Hesz Maja Judit</dc:creator>
  <cp:keywords/>
  <dc:description/>
  <cp:lastModifiedBy>Diák</cp:lastModifiedBy>
  <cp:revision>4</cp:revision>
  <dcterms:created xsi:type="dcterms:W3CDTF">2023-02-07T16:31:00Z</dcterms:created>
  <dcterms:modified xsi:type="dcterms:W3CDTF">2023-02-16T12:48:00Z</dcterms:modified>
</cp:coreProperties>
</file>